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Положение об Общем собрании акционеров ПАО «ОГК-2» в новой редакции в соответствии с Приложением №4 (проект документа включен в состав информации (материалов), предоставляемой лицам, имеющим право голоса при принятии решений Общим собранием акционеров).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charset w:val="00"/>
    <w:family w:val="auto"/>
    <w:pitch w:val="variable"/>
    <w:sig w:usb0="00000003" w:usb1="00000000" w:usb2="00000000" w:usb3="00000000" w:csb0="00000001" w:csb1="00000000"/>
    <w:embedRegular r:id="rId1" w:subsetted="1" w:fontKey="{CEA33384-DE94-477E-8A87-DBBD7142ABBF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57B1D1A3-8C54-4CED-AC04-A6D9B72AA545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5">
    <w:name w:val="Normal_15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